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棠外附小六年级下册第9周   数学知识点与易错题练习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         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           班级           姓名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</w:rPr>
        <w:t>一、填空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1．岳阳是一座有着2500多年悠久历史的文化名城。岳阳境内地貌类型多样，丘岗与盆地相穿插，平原与湖泊犬牙交错。其中耕地面积占土地面积的23.84%，读作(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)；林地面积占百分之三十九点二八，写作(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)。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2．（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）∶0.8＝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025" o:spt="75" alt="eqId4319db3909af8e9a2c0210416c8e7696" type="#_x0000_t75" style="height:28.35pt;width:31.95pt;" o:ole="t" filled="f" o:preferrelative="t" stroked="f" coordsize="21600,21600">
            <v:path/>
            <v:fill on="f" focussize="0,0"/>
            <v:stroke on="f"/>
            <v:imagedata r:id="rId5" o:title="eqId4319db3909af8e9a2c0210416c8e7696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＝0.75＝（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）%＝（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）折。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3．一个长方体的高是6cm，体积是192cm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，底面积是(        )cm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4．观察数轴，点A处为0，如果点C表示的数是3，那么点D表示的数是(        )；如果点C表示的数是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027" o:spt="75" alt="eqId4dac452fbb5ef6dd653e7fbbef639484" type="#_x0000_t75" style="height:28.55pt;width:10.4pt;" o:ole="t" filled="f" o:preferrelative="t" stroked="f" coordsize="21600,21600">
            <v:path/>
            <v:fill on="f" focussize="0,0"/>
            <v:stroke on="f"/>
            <v:imagedata r:id="rId7" o:title="eqId4dac452fbb5ef6dd653e7fbbef639484"/>
            <o:lock v:ext="edit" aspectratio="t"/>
            <w10:wrap type="none"/>
            <w10:anchorlock/>
          </v:shape>
          <o:OLEObject Type="Embed" ProgID="Equation.DSMT4" ShapeID="_x0000_i1027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，点B表示的数是(        )。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195195" cy="464820"/>
            <wp:effectExtent l="0" t="0" r="14605" b="17780"/>
            <wp:docPr id="100003" name="图片 100003" descr="@@@7ddd14735ec94cf184aed261d999ad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7ddd14735ec94cf184aed261d999ad4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5195" cy="46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．一条连衣裙原价120元，双十一期间降价20%销售，双十一过后在此基础上涨价20%销售。双十一过后这条连衣裙的价格是(        )元。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．购买车辆要缴纳8%的消费税，李叔叔买了一辆车花了160000元，要缴纳消费税(        )元。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．把一个长50cm、宽30cm的长方形按1∶30缩小，得到的图形的面积是(        )cm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．笑笑把 1000元压岁钱存入银行，一年后，她准备把利息和本金全部捐给新农村建设，如果年利率是1.35%，到期时她可以捐(        )元。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如果</w:t>
      </w:r>
      <m:oMath>
        <m:f>
          <m:fPr>
            <m:ctrlPr>
              <w:rPr>
                <w:rFonts w:hint="eastAsia" w:ascii="DejaVu Math TeX Gyre" w:hAnsi="DejaVu Math TeX Gyre" w:eastAsia="宋体" w:cs="宋体"/>
                <w:b w:val="0"/>
                <w:bCs w:val="0"/>
                <w:sz w:val="24"/>
                <w:szCs w:val="24"/>
              </w:rPr>
            </m:ctrlPr>
          </m:fPr>
          <m:num>
            <m:r>
              <m:rPr/>
              <w:rPr>
                <w:rFonts w:hint="eastAsia" w:ascii="DejaVu Math TeX Gyre" w:hAnsi="DejaVu Math TeX Gyre" w:eastAsia="宋体" w:cs="宋体"/>
                <w:sz w:val="24"/>
                <w:szCs w:val="24"/>
              </w:rPr>
              <m:t>x</m:t>
            </m:r>
            <m:ctrlPr>
              <w:rPr>
                <w:rFonts w:hint="eastAsia" w:ascii="DejaVu Math TeX Gyre" w:hAnsi="DejaVu Math TeX Gyre" w:eastAsia="宋体" w:cs="宋体"/>
                <w:b w:val="0"/>
                <w:bCs w:val="0"/>
                <w:sz w:val="24"/>
                <w:szCs w:val="24"/>
              </w:rPr>
            </m:ctrlPr>
          </m:num>
          <m:den>
            <m:r>
              <m:rPr/>
              <w:rPr>
                <w:rFonts w:hint="eastAsia" w:ascii="DejaVu Math TeX Gyre" w:hAnsi="DejaVu Math TeX Gyre" w:eastAsia="宋体" w:cs="宋体"/>
                <w:sz w:val="24"/>
                <w:szCs w:val="24"/>
              </w:rPr>
              <m:t>6</m:t>
            </m:r>
            <m:ctrlPr>
              <w:rPr>
                <w:rFonts w:hint="eastAsia" w:ascii="DejaVu Math TeX Gyre" w:hAnsi="DejaVu Math TeX Gyre" w:eastAsia="宋体" w:cs="宋体"/>
                <w:b w:val="0"/>
                <w:bCs w:val="0"/>
                <w:sz w:val="24"/>
                <w:szCs w:val="24"/>
              </w:rPr>
            </m:ctrlPr>
          </m:den>
        </m:f>
        <m:r>
          <m:rPr/>
          <w:rPr>
            <w:rFonts w:hint="eastAsia" w:ascii="DejaVu Math TeX Gyre" w:hAnsi="DejaVu Math TeX Gyre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DejaVu Math TeX Gyre" w:hAnsi="DejaVu Math TeX Gyre" w:eastAsia="宋体" w:cs="宋体"/>
                <w:b w:val="0"/>
                <w:bCs w:val="0"/>
                <w:sz w:val="24"/>
                <w:szCs w:val="24"/>
              </w:rPr>
            </m:ctrlPr>
          </m:fPr>
          <m:num>
            <m:r>
              <m:rPr/>
              <w:rPr>
                <w:rFonts w:hint="eastAsia" w:ascii="DejaVu Math TeX Gyre" w:hAnsi="DejaVu Math TeX Gyre" w:eastAsia="宋体" w:cs="宋体"/>
                <w:sz w:val="24"/>
                <w:szCs w:val="24"/>
              </w:rPr>
              <m:t>5</m:t>
            </m:r>
            <m:ctrlPr>
              <w:rPr>
                <w:rFonts w:hint="eastAsia" w:ascii="DejaVu Math TeX Gyre" w:hAnsi="DejaVu Math TeX Gyre" w:eastAsia="宋体" w:cs="宋体"/>
                <w:b w:val="0"/>
                <w:bCs w:val="0"/>
                <w:sz w:val="24"/>
                <w:szCs w:val="24"/>
              </w:rPr>
            </m:ctrlPr>
          </m:num>
          <m:den>
            <m:r>
              <m:rPr/>
              <w:rPr>
                <w:rFonts w:hint="eastAsia" w:ascii="DejaVu Math TeX Gyre" w:hAnsi="DejaVu Math TeX Gyre" w:eastAsia="宋体" w:cs="宋体"/>
                <w:sz w:val="24"/>
                <w:szCs w:val="24"/>
              </w:rPr>
              <m:t>y</m:t>
            </m:r>
            <m:ctrlPr>
              <w:rPr>
                <w:rFonts w:hint="eastAsia" w:ascii="DejaVu Math TeX Gyre" w:hAnsi="DejaVu Math TeX Gyre" w:eastAsia="宋体" w:cs="宋体"/>
                <w:b w:val="0"/>
                <w:bCs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，那么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和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成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比例；如果2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＝7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，那么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和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　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比例。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312" w:hangingChars="13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学校合唱队的男生人数占合唱队总人数的</w:t>
      </w:r>
      <m:oMath>
        <m:f>
          <m:fPr>
            <m:ctrlPr>
              <w:rPr>
                <w:rFonts w:hint="eastAsia" w:ascii="DejaVu Math TeX Gyre" w:hAnsi="DejaVu Math TeX Gyre" w:eastAsia="宋体" w:cs="宋体"/>
                <w:b w:val="0"/>
                <w:bCs w:val="0"/>
                <w:sz w:val="24"/>
                <w:szCs w:val="24"/>
              </w:rPr>
            </m:ctrlPr>
          </m:fPr>
          <m:num>
            <m:r>
              <m:rPr/>
              <w:rPr>
                <w:rFonts w:hint="eastAsia" w:ascii="DejaVu Math TeX Gyre" w:hAnsi="DejaVu Math TeX Gyre" w:eastAsia="宋体" w:cs="宋体"/>
                <w:sz w:val="24"/>
                <w:szCs w:val="24"/>
              </w:rPr>
              <m:t>3</m:t>
            </m:r>
            <m:ctrlPr>
              <w:rPr>
                <w:rFonts w:hint="eastAsia" w:ascii="DejaVu Math TeX Gyre" w:hAnsi="DejaVu Math TeX Gyre" w:eastAsia="宋体" w:cs="宋体"/>
                <w:b w:val="0"/>
                <w:bCs w:val="0"/>
                <w:sz w:val="24"/>
                <w:szCs w:val="24"/>
              </w:rPr>
            </m:ctrlPr>
          </m:num>
          <m:den>
            <m:r>
              <m:rPr/>
              <w:rPr>
                <w:rFonts w:hint="eastAsia" w:ascii="DejaVu Math TeX Gyre" w:hAnsi="DejaVu Math TeX Gyre" w:eastAsia="宋体" w:cs="宋体"/>
                <w:sz w:val="24"/>
                <w:szCs w:val="24"/>
              </w:rPr>
              <m:t>8</m:t>
            </m:r>
            <m:ctrlPr>
              <w:rPr>
                <w:rFonts w:hint="eastAsia" w:ascii="DejaVu Math TeX Gyre" w:hAnsi="DejaVu Math TeX Gyre" w:eastAsia="宋体" w:cs="宋体"/>
                <w:b w:val="0"/>
                <w:bCs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，则女生人数与男生人数的比是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　      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，男生人数比女生人数少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　     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小天和小丽从学校骑自行车去少年宫，小天用了12分钟，小丽用了15分钟小天和小丽骑自行车的速度比是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</w:rPr>
        <w:t>二、选择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．把圆割补成近似长方形，下列说法正确的是（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）。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771"/>
          <w:tab w:val="left" w:pos="55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8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A．周长不变，面积增加B．面积和周长都不改变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C．面积不变，周长增加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．已知a÷b＝6，三位同学根据这个信息，分别给出了自己的理解，写出了下面三个比例。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小红：a÷b＝12∶2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      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小明：b∶a＝3∶18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      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小刚：b∶a＝6∶1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他们当中（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）写的比例不正确。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771"/>
          <w:tab w:val="left" w:pos="55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8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A．小红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B．小明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C．小刚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．把一段圆柱形木头削成一个最大的圆锥，切掉部分重12千克，求原木材重多少千克。正确算式是（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 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 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）。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771"/>
          <w:tab w:val="left" w:pos="55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8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029" o:spt="75" alt="eqId384697307740f3183cc09bf19c856c93" type="#_x0000_t75" style="height:30.9pt;width:32.35pt;" o:ole="t" filled="f" o:preferrelative="t" stroked="f" coordsize="21600,21600">
            <v:path/>
            <v:fill on="f" focussize="0,0"/>
            <v:stroke on="f"/>
            <v:imagedata r:id="rId10" o:title="eqId384697307740f3183cc09bf19c856c93"/>
            <o:lock v:ext="edit" aspectratio="t"/>
            <w10:wrap type="none"/>
            <w10:anchorlock/>
          </v:shape>
          <o:OLEObject Type="Embed" ProgID="Equation.DSMT4" ShapeID="_x0000_i1029" DrawAspect="Content" ObjectID="_1468075727" r:id="rId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030" o:spt="75" alt="eqId82556e8efffb3287ee98c5d4e4bcc78c" type="#_x0000_t75" style="height:32.5pt;width:55.65pt;" o:ole="t" filled="f" o:preferrelative="t" stroked="f" coordsize="21600,21600">
            <v:path/>
            <v:fill on="f" focussize="0,0"/>
            <v:stroke on="f"/>
            <v:imagedata r:id="rId12" o:title="eqId82556e8efffb3287ee98c5d4e4bcc78c"/>
            <o:lock v:ext="edit" aspectratio="t"/>
            <w10:wrap type="none"/>
            <w10:anchorlock/>
          </v:shape>
          <o:OLEObject Type="Embed" ProgID="Equation.DSMT4" ShapeID="_x0000_i1030" DrawAspect="Content" ObjectID="_1468075728" r:id="rId1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C．12×3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312" w:hangingChars="130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三、学以致用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312" w:hangingChars="130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</w:rPr>
        <w:t>丽水经过适当处理后，形成的“再生水”可以用于农业灌溉，实现水生态的良性循环。“再生水”制造厂通过蓄水池（如下图）来收集雨水，它的最高安全水位是4.5米。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198120</wp:posOffset>
            </wp:positionH>
            <wp:positionV relativeFrom="paragraph">
              <wp:posOffset>48260</wp:posOffset>
            </wp:positionV>
            <wp:extent cx="1946910" cy="1083310"/>
            <wp:effectExtent l="0" t="0" r="8890" b="889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47333" cy="1083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</w:rPr>
        <w:t xml:space="preserve">（1）蓄水池最多能储存多少立方米的丽水？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</w:rPr>
        <w:t xml:space="preserve">（2）蓄水池的内部要抹上水泥，需要抹多少平方米？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312" w:hangingChars="130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工厂计划生产800个零件，甲、乙两个小组同时开始生产。6天后，两个小组一共生产的零件数量与剩下的数量之比是3：2。已知甲小组每天生产零件42个，那么乙小组每天生产零件多少个？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312" w:hangingChars="13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312" w:hangingChars="13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312" w:hangingChars="13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3.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青白江区城市森林和谐广场位于青白江区华金大道二段，是青白江百姓休闲、娱乐的重要场所。把它绘制在比例尺为1：5000的地图上，该广场平面图是一个长约是5厘米，宽约是3厘米的长方形。请问该广场实际面积约是多少平方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</w:rPr>
        <w:t>阅读材料，回答问题。</w:t>
      </w:r>
    </w:p>
    <w:tbl>
      <w:tblPr>
        <w:tblStyle w:val="2"/>
        <w:tblW w:w="0" w:type="auto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90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</w:rPr>
              <w:t>黄金分割是指将整体分成两个部分，较大部分与整体的比值等于较小部分与较大部分的比值，其比值约为0.618，这个比称为黄金比。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</w:rPr>
              <w:t>按黄金比设计的造型十分美丽柔和。比如，五角星中所有线段之间的长度关系都符合黄金比。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</w:rPr>
        <w:t>（1）如图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0" distR="0">
            <wp:extent cx="660400" cy="321310"/>
            <wp:effectExtent l="0" t="0" r="0" b="889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321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</w:rPr>
        <w:t>，点C是线段AB的黄金分割点，AC&gt;BC，据此写出一个比例：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u w:val="single"/>
        </w:rPr>
        <w:t>　              　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</w:rPr>
        <w:t>（2）一个人的肚脐以上的高度是61.8cm，肚脐以下的高度是95cm，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u w:val="single"/>
        </w:rPr>
        <w:t>　     　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</w:rPr>
        <w:t>(填“符合”或“不符合”)黄金比，若穿一双跟高为5cm的高跟鞋，则符合黄金比，据此写出一个比例：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u w:val="single"/>
        </w:rPr>
        <w:t>　                     　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</w:rPr>
        <w:t>。(两边比的比值约等即可)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5.如图,阳阳和光光分别以直角梯形的上底和下底所在的直线为轴,将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直角梯形旋转一周,得到了两个立体图形。阳阳说:“我们旋转的平面图形是完全一样的,所以旋转后得到的两个立体图形的体积也相等。”光光说:“我不同意你的看法,我认为两个立体图形的体积不相等。”</w:t>
      </w: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937260</wp:posOffset>
            </wp:positionV>
            <wp:extent cx="2581275" cy="1295400"/>
            <wp:effectExtent l="0" t="0" r="9525" b="0"/>
            <wp:wrapSquare wrapText="bothSides"/>
            <wp:docPr id="100015" name="图片 100015" descr="@@@96f2cafa-17b5-42cd-991e-3c551f140a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@@@96f2cafa-17b5-42cd-991e-3c551f140a6a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（1）我同意(       )的说法。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2）</w:t>
      </w:r>
      <w:r>
        <w:rPr>
          <w:rFonts w:hint="eastAsia" w:ascii="宋体" w:hAnsi="宋体" w:eastAsia="宋体" w:cs="宋体"/>
          <w:sz w:val="21"/>
          <w:szCs w:val="21"/>
        </w:rPr>
        <w:t>如果以AB所在直线为轴进行旋转，所形成的立体图形是（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）（填序号，下同）；如果以CD所在直线为轴进行旋转，所形成的立体图形是（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</w:rPr>
        <w:t> 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</w:t>
      </w:r>
      <w:r>
        <w:rPr>
          <w:rFonts w:hint="eastAsia" w:ascii="宋体" w:hAnsi="宋体" w:eastAsia="宋体" w:cs="宋体"/>
          <w:sz w:val="21"/>
          <w:szCs w:val="21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(3)旋转得到的两个立体图形的体积比是多少?(请写出思考过程)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0000" w:usb1="00000000" w:usb2="00000000" w:usb3="00000000" w:csb0="00000000" w:csb1="00000000"/>
  </w:font>
  <w:font w:name="宋体">
    <w:altName w:val="汉仪书宋二KW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新宋体">
    <w:altName w:val="方正书宋_GBK"/>
    <w:panose1 w:val="02010609030101010101"/>
    <w:charset w:val="86"/>
    <w:family w:val="auto"/>
    <w:pitch w:val="default"/>
    <w:sig w:usb0="00000000" w:usb1="00000000" w:usb2="00000006" w:usb3="00000000" w:csb0="00040001" w:csb1="00000000"/>
  </w:font>
  <w:font w:name="Cambria Math">
    <w:altName w:val="Kingsoft Math"/>
    <w:panose1 w:val="02040503050406030204"/>
    <w:charset w:val="01"/>
    <w:family w:val="roman"/>
    <w:pitch w:val="default"/>
    <w:sig w:usb0="00000000" w:usb1="00000000" w:usb2="00000000" w:usb3="00000000" w:csb0="2000019F" w:csb1="00000000"/>
  </w:font>
  <w:font w:name="Kingsoft Math">
    <w:panose1 w:val="02040503050406030204"/>
    <w:charset w:val="00"/>
    <w:family w:val="auto"/>
    <w:pitch w:val="default"/>
    <w:sig w:usb0="00000000" w:usb1="00000000" w:usb2="00000000" w:usb3="00000000" w:csb0="00000000" w:csb1="00000000"/>
  </w:font>
  <w:font w:name="DejaVu Math TeX Gyre">
    <w:panose1 w:val="02000503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MS Mincho">
    <w:altName w:val="Hiragino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"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娃娃体-简">
    <w:panose1 w:val="040B0500000000000000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DCEA29"/>
    <w:multiLevelType w:val="singleLevel"/>
    <w:tmpl w:val="FFDCEA29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7FD6E6C"/>
    <w:rsid w:val="97FD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png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Office_6.0.2.8225_F1E327BC-269C-435d-A152-05C5408002CA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2025-04-16T09:52:00Z</dcterms:created>
  <dc:creator>旋转木马</dc:creator>
  <cp:lastModifiedBy>旋转木马</cp:lastModifiedBy>
  <dcterms:modified xsi:type="dcterms:W3CDTF">2025-04-16T11:59:16Z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2052-6.0.2.8225</vt:lpwstr>
  </property>
  <property fmtid="{D5CDD505-2E9C-101B-9397-08002B2CF9AE}" pid="3" name="ICV">
    <vt:lpwstr>1A87C626FEA6CE32770DFF67CB5059ED_41</vt:lpwstr>
  </property>
</Properties>
</file>